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РОССИЙСКАЯ ФЕДЕРАЦИЯ </w:t>
      </w:r>
    </w:p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РОСТОВСКАЯ ОБЛАСТЬ</w:t>
      </w:r>
    </w:p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ТАРАСОВСКИЙ РАЙОН</w:t>
      </w:r>
    </w:p>
    <w:p w:rsidR="0086275F" w:rsidRDefault="0086275F" w:rsidP="0086275F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ОБРАЗОВАНИЕ</w:t>
      </w:r>
    </w:p>
    <w:p w:rsidR="0086275F" w:rsidRDefault="0086275F" w:rsidP="00862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«ДЯЧКИНСКОЕ СЕЛЬСКОЕ ПОСЕЛЕНИЕ»</w:t>
      </w:r>
    </w:p>
    <w:p w:rsidR="0086275F" w:rsidRDefault="0086275F" w:rsidP="00862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АДМИНИСТРАЦИЯ ДЯЧКИНСКОГО СЕЛЬСКОГО ПОСЕЛЕНИЯ  </w:t>
      </w:r>
    </w:p>
    <w:p w:rsidR="0086275F" w:rsidRDefault="0086275F" w:rsidP="0086275F">
      <w:pPr>
        <w:spacing w:after="0" w:line="255" w:lineRule="atLeast"/>
        <w:rPr>
          <w:b/>
          <w:sz w:val="28"/>
          <w:szCs w:val="28"/>
        </w:rPr>
      </w:pPr>
    </w:p>
    <w:p w:rsidR="0086275F" w:rsidRDefault="0086275F" w:rsidP="0086275F">
      <w:pPr>
        <w:spacing w:after="0" w:line="255" w:lineRule="atLeast"/>
        <w:rPr>
          <w:b/>
          <w:sz w:val="28"/>
          <w:szCs w:val="28"/>
        </w:rPr>
      </w:pPr>
    </w:p>
    <w:p w:rsidR="003437DE" w:rsidRPr="003437DE" w:rsidRDefault="0086275F" w:rsidP="0086275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437DE"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ПОСТАНОВЛЕНИЕ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437DE" w:rsidRPr="003437DE" w:rsidRDefault="003437DE" w:rsidP="003437D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27.11.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2013 года                             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№ 81                        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сл. </w:t>
      </w:r>
      <w:proofErr w:type="spell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Дячкино</w:t>
      </w:r>
      <w:proofErr w:type="spellEnd"/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О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б утверждении Положения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«О порядке сбора и вывоза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бытовых отходов и мусора на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территории  Дячкинского</w:t>
      </w:r>
    </w:p>
    <w:p w:rsidR="003437DE" w:rsidRPr="003437DE" w:rsidRDefault="0086275F" w:rsidP="003437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твердых и жидк</w:t>
      </w:r>
      <w:r w:rsid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их бытовых отходов», </w:t>
      </w:r>
      <w:r w:rsid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решение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 </w:t>
      </w:r>
      <w:r w:rsid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Собрания депутатов Дячкинского сельского поселения </w:t>
      </w:r>
      <w:r w:rsid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03.10.2013 № 27 «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 w:rsidRPr="003437DE">
        <w:rPr>
          <w:rFonts w:ascii="Times New Roman" w:hAnsi="Times New Roman" w:cs="Times New Roman"/>
          <w:sz w:val="28"/>
          <w:szCs w:val="28"/>
        </w:rPr>
        <w:t>Об утверждении правил</w:t>
      </w:r>
      <w:proofErr w:type="gramEnd"/>
      <w:r w:rsidR="003437DE" w:rsidRPr="003437DE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 населённых пунктов муниципального образова</w:t>
      </w:r>
      <w:r w:rsidR="003437DE">
        <w:rPr>
          <w:rFonts w:ascii="Times New Roman" w:hAnsi="Times New Roman" w:cs="Times New Roman"/>
          <w:sz w:val="28"/>
          <w:szCs w:val="28"/>
        </w:rPr>
        <w:t xml:space="preserve">ния </w:t>
      </w:r>
      <w:r w:rsidR="003437DE" w:rsidRPr="003437DE">
        <w:rPr>
          <w:rFonts w:ascii="Times New Roman" w:hAnsi="Times New Roman" w:cs="Times New Roman"/>
          <w:sz w:val="28"/>
          <w:szCs w:val="28"/>
        </w:rPr>
        <w:t>«</w:t>
      </w:r>
      <w:r w:rsidR="00D0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5B">
        <w:rPr>
          <w:rFonts w:ascii="Times New Roman" w:hAnsi="Times New Roman" w:cs="Times New Roman"/>
          <w:sz w:val="28"/>
          <w:szCs w:val="28"/>
        </w:rPr>
        <w:t>Дячкинское</w:t>
      </w:r>
      <w:proofErr w:type="spellEnd"/>
      <w:r w:rsidR="00D0085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27CE3">
        <w:rPr>
          <w:rFonts w:ascii="Times New Roman" w:hAnsi="Times New Roman" w:cs="Times New Roman"/>
          <w:sz w:val="28"/>
          <w:szCs w:val="28"/>
        </w:rPr>
        <w:t>,</w:t>
      </w:r>
      <w:r w:rsidR="00D0085B">
        <w:rPr>
          <w:rFonts w:ascii="Times New Roman" w:hAnsi="Times New Roman" w:cs="Times New Roman"/>
          <w:sz w:val="28"/>
          <w:szCs w:val="28"/>
        </w:rPr>
        <w:t xml:space="preserve"> администрации Дячкинского сельского поселения.</w:t>
      </w:r>
    </w:p>
    <w:p w:rsidR="003437DE" w:rsidRPr="003437DE" w:rsidRDefault="00C27CE3" w:rsidP="00FF30F9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</w:t>
      </w:r>
      <w:r w:rsidR="008627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</w:t>
      </w:r>
      <w:r w:rsidR="003437DE"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ПОСТАНОВЛЯЕТ: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E35F03" w:rsidRPr="00D0085B" w:rsidRDefault="0086275F" w:rsidP="00D0085B">
      <w:pPr>
        <w:pStyle w:val="a6"/>
        <w:numPr>
          <w:ilvl w:val="0"/>
          <w:numId w:val="3"/>
        </w:numPr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Утвердить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Положение «О порядке сбора и вывоза бытовых отходов и мусора на территории  Дя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чкинского сельского поселения»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FF30F9" w:rsidRDefault="00FF30F9" w:rsidP="00D0085B">
      <w:pPr>
        <w:pStyle w:val="a6"/>
        <w:numPr>
          <w:ilvl w:val="0"/>
          <w:numId w:val="3"/>
        </w:numPr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Постановление вступает в силу со дня его подписания</w:t>
      </w:r>
      <w:r w:rsid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</w:t>
      </w:r>
      <w:r w:rsidR="00D0085B" w:rsidRP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подлежит размещению на информационных стендах и официальном сайте Дячкинского сельского поселения</w:t>
      </w:r>
    </w:p>
    <w:p w:rsidR="0086275F" w:rsidRPr="00C27CE3" w:rsidRDefault="003437DE" w:rsidP="00C27CE3">
      <w:pPr>
        <w:pStyle w:val="a6"/>
        <w:numPr>
          <w:ilvl w:val="0"/>
          <w:numId w:val="3"/>
        </w:num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Контроль </w:t>
      </w:r>
      <w:r w:rsidR="00E35F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Дячкинского</w:t>
      </w:r>
      <w:r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сельского поселения                                    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</w:t>
      </w:r>
      <w:proofErr w:type="spellStart"/>
      <w:r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В.Ю.Пруцаков</w:t>
      </w:r>
      <w:proofErr w:type="spellEnd"/>
      <w:r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FF30F9" w:rsidRDefault="00FF30F9" w:rsidP="00D0085B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                                                                Приложение к постановлению                                 </w:t>
      </w:r>
    </w:p>
    <w:p w:rsidR="00D0085B" w:rsidRDefault="00FF30F9" w:rsidP="00D0085B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       </w:t>
      </w:r>
      <w:r w:rsidR="00D008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Дячкинского</w:t>
      </w:r>
    </w:p>
    <w:p w:rsidR="00D0085B" w:rsidRDefault="00D0085B" w:rsidP="00D0085B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      </w:t>
      </w:r>
      <w:r w:rsidR="00FF30F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поселения                                          </w:t>
      </w:r>
    </w:p>
    <w:p w:rsidR="00FF30F9" w:rsidRDefault="00D0085B" w:rsidP="00D0085B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FF30F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         от 27.11.2013 года  № 81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</w:t>
      </w:r>
    </w:p>
    <w:p w:rsidR="003437DE" w:rsidRPr="003437DE" w:rsidRDefault="00FF30F9" w:rsidP="00FF30F9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</w:t>
      </w:r>
      <w:r w:rsid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ПОЛОЖЕНИЕ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 порядке сбора и вывоза бытовых отходов и мусора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территории Дячкинского  сельского поселения 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 Общие положения</w:t>
      </w:r>
    </w:p>
    <w:p w:rsidR="003437DE" w:rsidRPr="003437DE" w:rsidRDefault="003437DE" w:rsidP="003437DE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отходов».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1.2. Положение «О порядке сбора и вывоза бытовых отходов на территории  Дячкинского </w:t>
      </w:r>
      <w:r w:rsidR="00C403C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 (далее – Порядок) регулирует организацию сбора и вывоза бытовых отходов и мусора (далее – отходы) на территории </w:t>
      </w:r>
      <w:r w:rsidR="00C403C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Дячкинского </w:t>
      </w:r>
      <w:r w:rsidR="00C403C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1.3. Нормы и требования настоящего Порядка обязательны для исполнения физическими и юридическими лицами независимо от формы собственности на всей территории  Дячкинского сельского поселения.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1.4. Несанкционированное размещение (сброс, складирование и др.) бытовых отходов и отходов потребления на территории  Дячкинского сельского поселения, в том числе на землях общего пользования, санитарно-защитных зонах промышленных предприятий  и прилегающих к ним землях, запрещено.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1.5. Граждане, индивидуальные предприниматели, юридические лица обязаны поддерживать чистоту и порядок, соблюдать установленные настоящим Порядком требования, принимать меры по устранению последствий нарушений, влекущих загрязнение окружающей среды.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1.6. Положение не распространяется на радиоактивные, медицинские, биологические, токсичные отходы, а также отходы производства, остатки сырья, материалов, полуфабрикатов, которые используются юридическими лицами и индивидуальными предпринимателями в хозяйственных целях непосредственно на самом предприятии.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2. Основные понятия</w:t>
      </w:r>
    </w:p>
    <w:p w:rsidR="003437DE" w:rsidRPr="003437DE" w:rsidRDefault="003437DE" w:rsidP="003437DE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2.1.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Положении используются понятия, определенные нормативными правовыми актами Российской Федерации и иные понятия: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территория МО - территория, состоящая из всех земель в пределах административных границ МО независимо от форм собственности и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целевого назначения;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 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твердые бытовые отходы (ТБО) – отходы производства и потребления, образующиеся в жилых и общественных зданиях;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крупногабаритные отходы (КГО) – отходы потребления и хозяйственной деятельности (бытовая техника, мебель и др.), утратившие свои потребительские свойства, нестандартные по размерам и требующие привлечения дополнительного транспорта для его удаления;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сбор отходов –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отходов, включает в себя понятия ТБО и КГО;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вывоз отходов – деятельность по перемещению отходов от мест сбора к местам их утилизации, переработки, обезвреживания и размещения;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специализированная организация - юридическое лицо или индивидуальный предприниматель, одним из направлений деятельности, которых или основной деятельностью является сбор и вывоз отходов;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урны для мусора – емкости объёмом не менее 0,25 куб. м., предназначенные для сбора в них отходов и устанавливаемые на территории МО;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 контейнер - стандартная емкость для сбора отходов производства и потребления, установленная в отведенном месте;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 контейнерная площадка – ровное асфальтовое или бетонное покрытие имеющее ограждение (кирпичное, бетонное, сетчатое и т.п.)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пасные отходы – чрезвычайно опасные, опасные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пожароопасностью</w:t>
      </w:r>
      <w:proofErr w:type="spell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потребитель – гражданин, использующий, заказывающий или имеющий намерение заказать исключительно для личных, семейных, домашних и иных нужд, не связанных с осуществлением предпринимательской деятельностью услуги по вывозу бытовых отходов. Термин предполагает, в т.ч. организации по эксплуатации жилищного фонда (управляющие компании), ТСЖ и др. формы управления, действующие от имени собственников помещений многоквартирных жилых домов;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производитель отходов – включает в себя понятие потребитель, юридические лица независимо от формы собственности, индивидуальные предприниматели, осуществляющие деятельность на территории сельского поселения;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- график вывоза ТБО – закрепляется непосредственно договором либо в качестве приложения к нему на вывоз ТБО (КГО) с указанием места (адреса), объема и времени вывоза;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несанкционированная свалка мусора – самовольный сброс (размещение) или складирование ТБО, КГО, грунта, отходов производства и потребления, другого мусора, образованных в процессе деятельности юридических или физических лиц, в объеме более 1 куб. м.;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 частный сектор – жилищный фонд частной или иной формы собственности, находящийся в собственности домовладельцев или занимаемый на основании договора социального найма;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благоустроенный жилой фонд – многоквартирные жилые дома с полным набором жилищных услуг;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прилегающая территория - территория, непосредственно прилегающая к месту сбора ТБО, КГО (контейнерной площадке) в радиусе 10 м.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сортировка отходов 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собственник отходов -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объект размещения отходов – специально оборудованное сооружение, предназначенное для размещения и утилизации отходов (полигон и другое). 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3. Организация сбора отходов</w:t>
      </w:r>
    </w:p>
    <w:p w:rsidR="003437DE" w:rsidRPr="003437DE" w:rsidRDefault="003437DE" w:rsidP="003437DE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3.1. Сбор отходов производится: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в контейнеры для отходов, установленные на оборудованных контейнерных площадках;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 в специальный автотранспорт, работающи</w:t>
      </w:r>
      <w:r w:rsidR="00BF04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й по установленному графику один раз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неделю; 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в урны для мусора; 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населенных пунктах численность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ю населения от 1 до 30 человек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сбор гражданами отходов осуществляется в целлофановые пакеты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</w:t>
      </w:r>
      <w:r w:rsidR="00BF04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вывоз ТБО осуществляется один раз в неделю в соответствии с заключенным договором на вывоз ТБО со специализированными организациями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3.3. Сбор жидких бытовых отходов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частном секторе производится 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 в выгребы надворных туалетов.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Вывоз жидких бытовых отходов осуществляется по мере накопления емкости по заявлению производителя отходов.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3.4. Перечень отдельных компонентов ТБО, подлежащих раздельному сбору с целью переработки и использования их в качестве вторичных ресурсов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(бумага-картон, пластик, стекло и др.) определяется органом местного самоуправления.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Раздельно собранные компоненты ТБО, являющиеся вторичными материальными ресурсами, направляются на переработку и дальнейшее использование.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Накопление отдельных компонентов ТБО от населения осуществляется в контейнеры с маркировкой, соответствующей собираемому компоненту ТБО. Маркировка находится в виде надписей и должна однозначно и точно доносить информацию о ТБО, подлежащих сбору в соответствующий контейнер.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Вывоз отсортированных компонентов ТБО с территории поселения осуществляется специализированными организациями. При погрузке собранных раздельно компонентов ТБО обеспечиваются условия, при которых раздельно собранные отходы не смешиваются с иными видами ТБО.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Вывоз раздельно собранных компонентов ТБО осуществляется отдельно от прочих отходов на объекты сортировки, переработки и обеззараживания.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3.5. Производители отходов обязаны осуществлять сбор отходов с предварительным разделением отходов на составляющие компоненты.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3.6.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Сбор отходов, являющихся вторичными материальными ресурсами, должен осуществляться раздельным способом в </w:t>
      </w:r>
      <w:proofErr w:type="spell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соотвествии</w:t>
      </w:r>
      <w:proofErr w:type="spell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 установленными классами опасности, физическими свойствами и агрегатным состоянием, особенностями последующего жизненного цикла и существующими технологиями по их переработке, обезвреживанию и уничтожению.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3.7.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Хранение вторичных материальных ресурсов, подлежащих переработке во вторичное сырье, должно осуществляться в условиях, исключающих потерю их ценных свойств.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3.8. Размещение контейнеров для отходов и содержание контейнерных площадок осуществляются в соответствии с действующими санитарными правилами и нормами.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3.9. Сбор отходов осуществляют производители отходов или организация, с которой производитель отходов заключил договор на исполнение данного вида работ.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3.10.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Организации по эксплуатации жилищного фонда, товарищества собственников жилья, специализированные организации, обеспечивающие сбор и вывоз мусора, другие юридические лица независимо от формы собственности и т. д. обязаны: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 осуществлять ремонт, реконструкцию, надлежащее содержание контейнерных площадок для сбора и временного хранения отходов в соответствии с принадлежностью контейнерных площадок, включая площадки для сбора крупногабаритных отходов, подходов и подъездов к местам сбора отходов;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 организовать сбор и вывоз отходов;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3.11. Сбор отходов производится в контейнеры, предназначенные для бытовых отходов. Крупногабаритные отходы размещаются на специальных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площадках. Ответственность за сбор и вывоз отходов возлагается на руководителей соответствующих некоммерческих организации,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3.12. При наличии договора, заключенного между производителем отходов и собственником контейнерной площадки, допускается сбор отходов в находящиеся рядом контейнеры, являющиеся собственностью организаций по эксплуатации жилищного фонда, товарищества собственников жилья, организации, обеспечивающих вывоз мусора, других юридических лиц.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3.13. Владельцы (наниматели) индивидуальных жилых домов обязаны производить сбор отходов на собственной территории или на специально оборудованных площадках и обеспечивать их вывоз самостоятельно либо путём заключения договора со специализированной организацией на вывоз бытовых отходов и мусора.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3.14. Сбор бытовых отходов на территории общего пользования производится в урны и контейнеры, установленные по проектам, согласованным с администрацией сельского поселения, в специальный автотранспорт, работающий по установленно</w:t>
      </w:r>
      <w:r w:rsidR="00BF04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 графику.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Ответственность за сбор и обеспечение вывоза отходов возлагается на организации, обеспечивающие благоустройство, чистоту и порядок на закрепленной территории.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Организация сбора и вывоза отходов с территории общего пользования сельского поселения производится в соответствии с требованиями настоящего Положения.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3.15. Юридические лица и индивидуальные предприниматели, осуществляющие строительство, реконструкцию, капитальный или текущий ремонт объектов, производят сбор и вывоз строительных отходов самостоятельно.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При ремонте или реконструкции помещений, расположенных на территории жилого фонда, порядок сбора и вывоза строительных отходов согласуется с организацией по эксплуатации жилого фонда.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Ответственность за сбор и вывоз строительных отходов возлагается на собственника отходов или на подрядчика работ (на договорной основе).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3.16. Юридические и физические лица (при непосредственном управлении многоквартирным домом), обеспечивающие способ управления жилым домом в соответствии с решением общего собрания собственников жилых помещений в благоустроенном многоквартирном жилищном фонде, обязаны организовать сбор отходов. 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 Организация вывоза отходов</w:t>
      </w:r>
    </w:p>
    <w:p w:rsidR="003437DE" w:rsidRPr="003437DE" w:rsidRDefault="003437DE" w:rsidP="003437DE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4.1. Вывоз отходов производится в соответствии с договором, заключаемым между специализированной организацией и производителем отходов на возмездной основе, за счет сре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дств </w:t>
      </w:r>
      <w:r w:rsidR="00C27CE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оизводителя отходов или самостоятельно производителем отходов.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4.2. Юридическим и физическим лицам, (при непосредственном управлении многоквартирным домом), обеспечивающим способ управления жилым домом в соответствии с решением общего собрания собственников жилых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помещений в благоустроенном многоквартирном жилищном фонде, рекомендуется заключить договора со специализированной организацией на вывоз отходов от имени собственников, нанимателей жилых помещений.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4.3. Вывоз отходов производится с соблюдением санитарных норм и правил по планово-регулярной системе согласно схемам, разработанным специализированными организациями по согласованию с владельцами контейнерных площадок, мест сбора КГО, на территории которых расположены данные объекты, владельцами (нанимателями) индивидуальных жилых домов.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4.4. Вывоз бытовых отходов производится специально оборудованными для этих целей транспортными средствами, обеспечивающими предотвращение потерь в пути.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При транспортировке пылящих или разлетающихся отходов обязательно наличие полога в машине. Не допускается перевозка отходов в машине с недостаточной герметичностью кузова, с видимыми следами просыпания и протекания. 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4.5. Вывоз отходов может осуществляться собственным транспортом производителя отходов либо транспортом сторонней организации.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4.6. При осуществлении перевозки отходов транспортом сторонней организации ответственность за соблюдение правил перевозки и складирования отходов несет организация - перевозчик.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4.7. Вывоз жидких бытовых отходов производится ассенизационным транспортом на установленные сливные станции.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4.8. Вывоз отходов с территории индивидуальных жилых домов осуществляется самостоятельно либо по договору между владельцем (нанимателем) индивидуального жилого дома и специализированной организацией. 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5. Особые условия Порядка</w:t>
      </w:r>
    </w:p>
    <w:p w:rsidR="003437DE" w:rsidRPr="003437DE" w:rsidRDefault="003437DE" w:rsidP="003437DE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5.1. В случае не выполнения условий подпункта 4.2. настоящих Правил, в связи с нереализованным правом выбора способа управления многоквартирным домом или отказом от существующего способа управления, рекомендовать собственникам и нанимателям жилых помещений самостоятельно заключить напрямую договора со специализированной организацией на сбор и вывоз отходов. При отказе от существующего способа управления, на основании решения собственников жилых помещений и нереализованным правом выбора другого способа управления, собственники и наниматели жилых помещений самостоятельно заключают напрямую договора со специализированной организацией на сбор и вывоз отходов в течение трёх рабочих дней.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5.2. Контейнерная площадка должна иметь с трех сторон ограждение высотой не ниже 1,5м, для предотвращения попадания мусора на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прилегающую территорию. Ограждение изготавливается из негорючих материалов (кирпич, бетон, металлическая сетка и т.д.) Допускается оборудование контейнерных площадок закрытого типа по специальным проектам (эскизам), разработанным и согласованным в установленном порядке. Площадка должна иметь обозначение по принадлежности с указанием организации, вывозящей отходы, порядкового номера и времени вывоза отходов.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5.3.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 При невозможности размещения контейнерной площадки с соблюдением этих требований, расстояние до жилых домов может быть уменьшено по согласованию в установленном порядке.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5.4. Площадки для установки контейнеров для сбора ТБО, КГМ с асфальтовым или бетонным покрытием должна быть оборудована удобным подъездом </w:t>
      </w:r>
      <w:proofErr w:type="spell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спецавтотранспорта</w:t>
      </w:r>
      <w:proofErr w:type="spell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специализированной организации.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5.5. Владельцы контейнеров должны не реже 1 раза в 10 дней (в теплый период времени) промывать и обрабатывать контейнеры дезинфицирующими растворами, в соответствии с санитарными требованиями.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5.6. Владельцы контейнерных площадок несут ответственность за санитарное состояние прилегающей территории в радиусе 10 метров и при отсутствии ограждения контейнерной площадки или неэффективности существующего ограждения радиус прилегающей территории увеличивается в пять раз и составляет 50 метров, в соотве</w:t>
      </w:r>
      <w:r w:rsidR="00BF04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ствии с соглашением по согласованию между администрацией сельского поселения и хозяйствующими субъектами.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5.7.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Жилищно-эксплуатационные организации, руководители организаций, предприятий, учреждений и физические лица, во владении и аренде которых находятся здания, независимо от форм собственности, обязаны обеспечивать установку урн установленной формы, располагаемых непосредственно у входа (не менее двух на вход) и на прилегающих к зданию тротуарах (с промежутками не более 30 м) в соответствии с соглашением по согласованию между администрацией сельского поселения и хозяйствующими объектами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Очистка урн должна производиться систематически по мере загрязнения, но не реже одного раза в сутки. Обработка и дезинфекция урн для мусора должны производиться самостоятельно либо эксплуатирующей организацией в соответствии с санитарными требованиями не реже одного раза в три дня.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5.8. Запрещается сжигание отходов и растительных остатков на всей территории сельского поселения и на контейнерных площадках в частности.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5.9. Специализированная организация не вправе отказаться от заключения договора на оказание услуг по вывозу бытовых отходов при наличии возможности предоставить потребителю соответствующие услуги.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5.10. </w:t>
      </w:r>
      <w:proofErr w:type="gramStart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</w:t>
      </w:r>
      <w:r w:rsidR="00C403C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</w:t>
      </w:r>
      <w:proofErr w:type="gramEnd"/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организацией сбора и вывоза отходов осуществляется администрацией сельского поселения. 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lastRenderedPageBreak/>
        <w:t>6. Общественный контроль</w:t>
      </w:r>
    </w:p>
    <w:p w:rsidR="003437DE" w:rsidRPr="003437DE" w:rsidRDefault="003437DE" w:rsidP="003437DE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6.1.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 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7. Ответственность за нарушение настоящего Порядка</w:t>
      </w:r>
    </w:p>
    <w:p w:rsidR="003437DE" w:rsidRPr="003437DE" w:rsidRDefault="003437DE" w:rsidP="003437DE">
      <w:pPr>
        <w:pStyle w:val="21"/>
        <w:tabs>
          <w:tab w:val="clear" w:pos="1109"/>
          <w:tab w:val="left" w:pos="12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437DE">
        <w:rPr>
          <w:sz w:val="28"/>
          <w:szCs w:val="28"/>
        </w:rPr>
        <w:t>.1.</w:t>
      </w:r>
      <w:r w:rsidRPr="003437DE">
        <w:rPr>
          <w:sz w:val="28"/>
          <w:szCs w:val="28"/>
        </w:rPr>
        <w:tab/>
      </w:r>
      <w:proofErr w:type="gramStart"/>
      <w:r w:rsidRPr="003437DE">
        <w:rPr>
          <w:sz w:val="28"/>
          <w:szCs w:val="28"/>
        </w:rPr>
        <w:t>Контроль за</w:t>
      </w:r>
      <w:proofErr w:type="gramEnd"/>
      <w:r w:rsidRPr="003437DE">
        <w:rPr>
          <w:sz w:val="28"/>
          <w:szCs w:val="28"/>
        </w:rPr>
        <w:t xml:space="preserve"> соблюдением настоящих Правил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правонарушениях.</w:t>
      </w:r>
    </w:p>
    <w:p w:rsidR="003437DE" w:rsidRPr="003437DE" w:rsidRDefault="003437DE" w:rsidP="003437DE">
      <w:pPr>
        <w:shd w:val="clear" w:color="auto" w:fill="FFFFFF"/>
        <w:tabs>
          <w:tab w:val="left" w:pos="1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Pr="003437DE">
        <w:rPr>
          <w:rFonts w:ascii="Times New Roman" w:hAnsi="Times New Roman" w:cs="Times New Roman"/>
          <w:sz w:val="28"/>
          <w:szCs w:val="28"/>
        </w:rPr>
        <w:t>.2.</w:t>
      </w:r>
      <w:r w:rsidRPr="003437DE">
        <w:rPr>
          <w:rFonts w:ascii="Times New Roman" w:hAnsi="Times New Roman" w:cs="Times New Roman"/>
          <w:sz w:val="28"/>
          <w:szCs w:val="28"/>
        </w:rPr>
        <w:tab/>
        <w:t>В случае выявления фактов нарушений Правил уполномоченные должностные лица вправе:</w:t>
      </w:r>
    </w:p>
    <w:p w:rsidR="003437DE" w:rsidRPr="003437DE" w:rsidRDefault="003437DE" w:rsidP="003437DE">
      <w:pPr>
        <w:shd w:val="clear" w:color="auto" w:fill="FFFFFF"/>
        <w:tabs>
          <w:tab w:val="left" w:pos="78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37DE">
        <w:rPr>
          <w:rFonts w:ascii="Times New Roman" w:hAnsi="Times New Roman" w:cs="Times New Roman"/>
          <w:sz w:val="28"/>
          <w:szCs w:val="28"/>
        </w:rPr>
        <w:t xml:space="preserve"> - выдать предписание об устранении нарушений;</w:t>
      </w:r>
    </w:p>
    <w:p w:rsidR="003437DE" w:rsidRPr="003437DE" w:rsidRDefault="003437DE" w:rsidP="003437DE">
      <w:pPr>
        <w:shd w:val="clear" w:color="auto" w:fill="FFFFFF"/>
        <w:tabs>
          <w:tab w:val="left" w:pos="78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437DE">
        <w:rPr>
          <w:rFonts w:ascii="Times New Roman" w:hAnsi="Times New Roman" w:cs="Times New Roman"/>
          <w:sz w:val="28"/>
          <w:szCs w:val="28"/>
        </w:rPr>
        <w:t xml:space="preserve">       - составить протокол об административном правонарушении в порядке, установленном действующим законодательством;</w:t>
      </w:r>
    </w:p>
    <w:p w:rsidR="0076292F" w:rsidRPr="0076292F" w:rsidRDefault="003437DE" w:rsidP="003437DE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437DE">
        <w:rPr>
          <w:rFonts w:ascii="Times New Roman" w:hAnsi="Times New Roman" w:cs="Times New Roman"/>
          <w:sz w:val="28"/>
          <w:szCs w:val="28"/>
        </w:rPr>
        <w:t xml:space="preserve">        - обратиться в суд с заявлением (исковым заявлением) о признании не </w:t>
      </w:r>
      <w:proofErr w:type="gramStart"/>
      <w:r w:rsidRPr="003437DE">
        <w:rPr>
          <w:rFonts w:ascii="Times New Roman" w:hAnsi="Times New Roman" w:cs="Times New Roman"/>
          <w:sz w:val="28"/>
          <w:szCs w:val="28"/>
        </w:rPr>
        <w:t>законными</w:t>
      </w:r>
      <w:proofErr w:type="gramEnd"/>
      <w:r w:rsidR="00C403C5">
        <w:rPr>
          <w:rFonts w:ascii="Times New Roman" w:hAnsi="Times New Roman" w:cs="Times New Roman"/>
          <w:sz w:val="28"/>
          <w:szCs w:val="28"/>
        </w:rPr>
        <w:t xml:space="preserve"> </w:t>
      </w:r>
      <w:r w:rsidRPr="003437DE">
        <w:rPr>
          <w:rFonts w:ascii="Times New Roman" w:hAnsi="Times New Roman" w:cs="Times New Roman"/>
          <w:sz w:val="28"/>
          <w:szCs w:val="28"/>
        </w:rPr>
        <w:t xml:space="preserve"> действий (бездействия) физических и (или) юридических лиц, нарушающих</w:t>
      </w:r>
    </w:p>
    <w:p w:rsidR="003437DE" w:rsidRPr="003437DE" w:rsidRDefault="003437DE" w:rsidP="003437DE">
      <w:pPr>
        <w:shd w:val="clear" w:color="auto" w:fill="FFFFFF"/>
        <w:tabs>
          <w:tab w:val="left" w:pos="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7DE">
        <w:rPr>
          <w:rFonts w:ascii="Times New Roman" w:hAnsi="Times New Roman" w:cs="Times New Roman"/>
          <w:sz w:val="28"/>
          <w:szCs w:val="28"/>
        </w:rPr>
        <w:t>Правила, и о возмещении ущерба</w:t>
      </w:r>
      <w:r w:rsidRPr="00343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7DE" w:rsidRPr="003437DE" w:rsidRDefault="003437DE" w:rsidP="003437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7DE">
        <w:rPr>
          <w:rFonts w:ascii="Times New Roman" w:hAnsi="Times New Roman" w:cs="Times New Roman"/>
          <w:sz w:val="28"/>
          <w:szCs w:val="28"/>
        </w:rPr>
        <w:t xml:space="preserve">        7.3.</w:t>
      </w:r>
      <w:r w:rsidRPr="003437DE">
        <w:rPr>
          <w:rFonts w:ascii="Times New Roman" w:hAnsi="Times New Roman" w:cs="Times New Roman"/>
          <w:sz w:val="28"/>
          <w:szCs w:val="28"/>
        </w:rPr>
        <w:tab/>
        <w:t xml:space="preserve"> Лица, допустившие нарушение настоящих Правил, несут ответственность в соответствии с Областным законом «Об административных правонарушениях».</w:t>
      </w:r>
      <w:r w:rsidRPr="003437DE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</w:t>
      </w:r>
    </w:p>
    <w:p w:rsidR="004802D1" w:rsidRDefault="004802D1"/>
    <w:sectPr w:rsidR="004802D1" w:rsidSect="0048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07D"/>
    <w:multiLevelType w:val="multilevel"/>
    <w:tmpl w:val="672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A210B"/>
    <w:multiLevelType w:val="hybridMultilevel"/>
    <w:tmpl w:val="A85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6B7B"/>
    <w:multiLevelType w:val="multilevel"/>
    <w:tmpl w:val="153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2F"/>
    <w:rsid w:val="001F6C1F"/>
    <w:rsid w:val="003437DE"/>
    <w:rsid w:val="003C1350"/>
    <w:rsid w:val="00405F2B"/>
    <w:rsid w:val="004802D1"/>
    <w:rsid w:val="00642E96"/>
    <w:rsid w:val="00653847"/>
    <w:rsid w:val="00752846"/>
    <w:rsid w:val="0076292F"/>
    <w:rsid w:val="0086275F"/>
    <w:rsid w:val="00912753"/>
    <w:rsid w:val="009B7300"/>
    <w:rsid w:val="00BF0426"/>
    <w:rsid w:val="00C27CE3"/>
    <w:rsid w:val="00C403C5"/>
    <w:rsid w:val="00D0085B"/>
    <w:rsid w:val="00DD33D5"/>
    <w:rsid w:val="00E35F03"/>
    <w:rsid w:val="00EB6AFD"/>
    <w:rsid w:val="00FC1B6A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92F"/>
    <w:rPr>
      <w:color w:val="954D2D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9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9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29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luecount2">
    <w:name w:val="value_count2"/>
    <w:basedOn w:val="a0"/>
    <w:rsid w:val="0076292F"/>
    <w:rPr>
      <w:spacing w:val="90"/>
    </w:rPr>
  </w:style>
  <w:style w:type="paragraph" w:styleId="a4">
    <w:name w:val="Balloon Text"/>
    <w:basedOn w:val="a"/>
    <w:link w:val="a5"/>
    <w:uiPriority w:val="99"/>
    <w:semiHidden/>
    <w:unhideWhenUsed/>
    <w:rsid w:val="0076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F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437DE"/>
    <w:pPr>
      <w:widowControl w:val="0"/>
      <w:shd w:val="clear" w:color="auto" w:fill="FFFFFF"/>
      <w:tabs>
        <w:tab w:val="left" w:pos="1109"/>
      </w:tabs>
      <w:suppressAutoHyphens/>
      <w:autoSpaceDE w:val="0"/>
      <w:spacing w:after="0" w:line="240" w:lineRule="auto"/>
      <w:ind w:firstLine="709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  <w:div w:id="253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86241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363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3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7019">
          <w:marLeft w:val="0"/>
          <w:marRight w:val="0"/>
          <w:marTop w:val="0"/>
          <w:marBottom w:val="0"/>
          <w:divBdr>
            <w:top w:val="single" w:sz="12" w:space="11" w:color="954D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A14F-E33C-4D18-B62B-79ACAA8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2013-11-27T08:10:00Z</cp:lastPrinted>
  <dcterms:created xsi:type="dcterms:W3CDTF">2013-10-31T06:28:00Z</dcterms:created>
  <dcterms:modified xsi:type="dcterms:W3CDTF">2013-11-27T08:11:00Z</dcterms:modified>
</cp:coreProperties>
</file>